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2db2eaa9c70e7e7ff42f7f6853025a18545b8"/>
    <w:p>
      <w:pPr>
        <w:pStyle w:val="Heading3"/>
      </w:pPr>
      <w:r>
        <w:t xml:space="preserve">Усовершенствован механизм противодействия мошенничеству при заключении договоров потребительского кредита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сентября 2025 вступят в силу отдельные положения Федерального закона от 13.02.2025 № 9-ФЗ, которым вводится период «охлаждения» при заключении договора потребительского кредита (займа).</w:t>
      </w:r>
    </w:p>
    <w:p>
      <w:pPr>
        <w:pStyle w:val="BodyText"/>
      </w:pPr>
      <w:r>
        <w:t xml:space="preserve">Получить деньги по кредиту или займу от 50 тыс. до 200 тыс. рублей можно будет только через 4 часа после заключения договора. Если сумма превышает этот порог, то средства перечислят не раньше, чем через 48 часов.</w:t>
      </w:r>
    </w:p>
    <w:p>
      <w:pPr>
        <w:pStyle w:val="BodyText"/>
      </w:pPr>
      <w:r>
        <w:t xml:space="preserve">Это время будет предоставляться клиенту для того, чтобы он еще раз обдумал принятое решение. При необходимости он вправе отказаться от получения денег, если сделает это в течение периода «охлаждения». При этом уплата штрафов и комиссий не предусмотрена.</w:t>
      </w:r>
    </w:p>
    <w:p>
      <w:pPr>
        <w:pStyle w:val="BodyText"/>
      </w:pPr>
      <w:r>
        <w:t xml:space="preserve">Период охлаждения не будет устанавливаться для кредитов и займов до 50 тыс. рублей, а также для ипотечных и образовательных кредитов, автокредитов (при условии, что деньги зачисляются сразу на счет автодилера), кредитов на рефинансирование ранее взятых обязательств, если это не приведет к увеличению их размера.</w:t>
      </w:r>
    </w:p>
    <w:p>
      <w:pPr>
        <w:pStyle w:val="BodyText"/>
      </w:pPr>
      <w:r>
        <w:t xml:space="preserve">При выдаче кредита или займа с нарушением антимошеннических норм и при возбуждении уголовного дела по факту хищения денег кредитор не сможет требовать исполнения заемщиком обязательств, начислять проценты и передавать долг коллекторам.</w:t>
      </w:r>
    </w:p>
    <w:p>
      <w:pPr>
        <w:pStyle w:val="BodyText"/>
      </w:pPr>
      <w:r>
        <w:t xml:space="preserve">Данные меры являются частью комплексной стратегии по уменьшению ситуаций, когда физические лица становятся жертвами мошеннических кредитов.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http://meschanka.mos.ru/safety-and-security/the-prosecutor-s-office/detail/13094243.html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94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94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2025-07-09T14:53:25Z</dcterms:created>
  <dcterms:modified xsi:type="dcterms:W3CDTF">2025-07-09T14:53:25Z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