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f4826e2bf44e29af80bae3e6ea6cb6a105ec"/>
    <w:p>
      <w:pPr>
        <w:pStyle w:val="Heading3"/>
      </w:pPr>
      <w:r>
        <w:t xml:space="preserve">Верховным судом Российской Федерации даны разъяснения по рассмотрению судами гражданских исков по уголовным дела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Пленума Верховного суда РФ от 13.10.2020 № 23 «О практике рассмотрения судами гражданского иска по уголовному делу» разъяснен уголовно-процессуальный порядок рассмотрения судами гражданских исков по уголовным делам.</w:t>
      </w:r>
    </w:p>
    <w:p>
      <w:pPr>
        <w:pStyle w:val="BodyText"/>
      </w:pPr>
      <w:r>
        <w:t xml:space="preserve">Сформулированная в ст. 6 УПК РФ обязанность государства по обеспечению надлежащей защиты гражданских прав потерпевших от преступлений физических и юридических лиц, реализуется посредством разрешения исков о возмещении имущественного ущерба или компенсации морального вреда.</w:t>
      </w:r>
    </w:p>
    <w:p>
      <w:pPr>
        <w:pStyle w:val="BodyText"/>
      </w:pPr>
      <w:r>
        <w:t xml:space="preserve">По смыслу положений п. 1 ст. 1064 Гражданского Кодекса РФ вред, причиненный преступлением, подлежит возмещению в полном объеме лицом, виновным в его совершении.</w:t>
      </w:r>
    </w:p>
    <w:p>
      <w:pPr>
        <w:pStyle w:val="BodyText"/>
      </w:pPr>
      <w:r>
        <w:t xml:space="preserve">Вместе с тем, Верховный Суд РФ в своем постановлении обратил внимание нижестоящих судов на то, что помимо лица, виновного в совершении преступления, в результате которого причинен вред, либо вместо него, в зависимости от обстоятельств конкретного дела, квалификации преступных деяний, гражданский иск может быть обращен и к иному физическому или юридическому лицу, которое в соответствии с нормами Гражданского Кодекса РФ несет ответственность за вред, причиненный преступлением.</w:t>
      </w:r>
    </w:p>
    <w:p>
      <w:pPr>
        <w:pStyle w:val="BodyText"/>
      </w:pPr>
      <w:r>
        <w:t xml:space="preserve">Кроме того, в тех случаях, когда вред причинен преступлением, совершенным несовершеннолетним, не имеющим доходов или иного имущества, достаточных для возмещения вреда, с учетом положений ст. 1074 Гражданского кодекса РФ и ст. 155.1 Семейного кодекса РФ, наряду с обвиняемым в качестве ответчиков следует привлекать его родителей (усыновителей) или попечителей либо организации для детей-сирот и детей, оставшихся без попечения родителей, в которых несовершеннолетний находился под надзором.</w:t>
      </w:r>
    </w:p>
    <w:p>
      <w:pPr>
        <w:pStyle w:val="BodyText"/>
      </w:pPr>
      <w:r>
        <w:t xml:space="preserve">При разрешении судами по уголовным делам исков о компенсации потерпевшим причиненных им преступлением морального вреда, следует руководствуется положениями ст. 151, 1099, 1100, 1101 Гражданского Кодекса РФ, в соответствии с которыми при определении размера компенсации морального вреда необходимо учитывать характер причиненных потерпевшему физических и (или) нравственных страданий, связанных с его индивидуальными особенностями, степень вины подсудимого, его материальное положение и другие конкретные обстоятельства дела, влияющие на решение суда по предъявленному иску. Во всех случаях при определении размера компенсации морального вреда должны учитываться требования разумности и справедливости.</w:t>
      </w:r>
    </w:p>
    <w:p>
      <w:pPr>
        <w:pStyle w:val="BodyText"/>
      </w:pPr>
      <w:r>
        <w:t xml:space="preserve">Одним из ключевых требований, изложенных в вышеупомянутом постановлении Верховного Суда РФ, теперь является необходимость в ходе судебного разбирательства судам принимать исчерпывающие меры для разрешения имеющегося по делу гражданского иска по существу, с тем чтобы нарушенные преступлением права потерпевшего были своевременно восстановлены, не допускать при постановлении обвинительного приговора необоснованной передачи вопроса о размере возмещения гражданского иска для рассмотрения в порядке гражданского судопроизводства.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2025-07-09T23:26:03Z</dcterms:created>
  <dcterms:modified xsi:type="dcterms:W3CDTF">2025-07-09T23:26:03Z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