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f5d146b064ae8387e194d4e39ae109a6c0e116"/>
    <w:p>
      <w:pPr>
        <w:pStyle w:val="Heading3"/>
      </w:pPr>
      <w:r>
        <w:t xml:space="preserve">Меры по противодействию коррупции, предусмотренные в сфере закупок для обеспечения государственных и муниципальных нужд</w:t>
      </w:r>
    </w:p>
    <w:p>
      <w:pPr>
        <w:pStyle w:val="FirstParagraph"/>
      </w:pPr>
      <w:r>
        <w:t xml:space="preserve">26.06.2025</w:t>
      </w:r>
    </w:p>
    <w:p>
      <w:pPr>
        <w:pStyle w:val="BodyText"/>
      </w:pPr>
      <w:r>
        <w:t xml:space="preserve">В Стратегии национальной безопасности Российской Федерации (Указ Президента РФ от 02.07.2021 № 400 «О Стратегии национальной безопасности Российской Федерации») искоренение коррупции отнесено к национальным интересам и целям обеспечения государственной и общественной безопасности.</w:t>
      </w:r>
    </w:p>
    <w:p>
      <w:pPr>
        <w:pStyle w:val="BodyText"/>
      </w:pPr>
      <w:r>
        <w:t xml:space="preserve">Федеральным законом от 25.12.2008 № 273-ФЗ «О противодействии коррупции» при определении основных направлений деятельности государственных органов по повышению эффективности противодействия коррупции отдельно выделен вопрос обеспечения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BodyText"/>
      </w:pPr>
      <w:r>
        <w:t xml:space="preserve">Наряду с этим Федеральный закон от 05.04.2013 № 44-ФЗ «О контрактной системе в сфере закупок товаров, работ, услуг для обеспечения государственных и муниципальных нужд» (далее – Закон № 44-ФЗ) в качестве цели регулирования данной деятельности установил предотвращение коррупции и других злоупотреблений в сфере закупок.</w:t>
      </w:r>
    </w:p>
    <w:p>
      <w:pPr>
        <w:pStyle w:val="BodyText"/>
      </w:pPr>
      <w:r>
        <w:t xml:space="preserve">В Законе № 44-ФЗ предусмотрен ряд положений, направленных на противодействие коррупции:</w:t>
      </w:r>
    </w:p>
    <w:p>
      <w:pPr>
        <w:pStyle w:val="BodyText"/>
      </w:pPr>
      <w:r>
        <w:t xml:space="preserve">1. Установлен запрет на включение в состав закупочной комиссии определенных лиц.</w:t>
      </w:r>
    </w:p>
    <w:p>
      <w:pPr>
        <w:pStyle w:val="BodyText"/>
      </w:pPr>
      <w:r>
        <w:t xml:space="preserve">Так, членами комиссии не могут быть: эксперты, оценивающие извещение, документацию о закупке, конкурсные заявки; лица, имеющие личную заинтересованность в результатах закупки, например ее участники; участники (акционеры) организаций, подавших заявки на участие в закупке, члены их органов управления, кредиторы участников закупки; должностные лица органов контроля, осуществляющие контроль в сфере закупок.</w:t>
      </w:r>
    </w:p>
    <w:p>
      <w:pPr>
        <w:pStyle w:val="BodyText"/>
      </w:pPr>
      <w:r>
        <w:t xml:space="preserve">2. Установлено требование к участникам закупки об отсутствии конфликта интересов между ними и заказчиком.</w:t>
      </w:r>
    </w:p>
    <w:p>
      <w:pPr>
        <w:pStyle w:val="BodyText"/>
      </w:pPr>
      <w:r>
        <w:t xml:space="preserve">3. Предусмотрена возможность оспорить действительность контракта в суде при наличии личной заинтересованности руководителя заказчика, члена комиссии, контрактного управляющего или руководителя контрактной службы.</w:t>
      </w:r>
    </w:p>
    <w:p>
      <w:pPr>
        <w:pStyle w:val="BodyText"/>
      </w:pPr>
      <w:r>
        <w:t xml:space="preserve">4. Установлен запрет на участие в закупках физлиц с непогашенной или неснятой судимостью за определенные преступления, а также юридических лиц, где такие физлица являются руководителями, членами коллегиального исполнительного органа, лицами, исполняющими функции единоличного исполнительного органа или главного бухгалтера. Также к закупкам не допускаются организации, которые в течение двух лет до подачи заявки привлекались к административной ответственности по статье 19.28 КоАП РФ.</w:t>
      </w:r>
    </w:p>
    <w:p>
      <w:pPr>
        <w:pStyle w:val="BodyText"/>
      </w:pPr>
      <w:r>
        <w:t xml:space="preserve">5. Предусмотрен механизм раскрытия информации обо всех субподрядчиках для крупных контрактов.</w:t>
      </w:r>
    </w:p>
    <w:p>
      <w:pPr>
        <w:pStyle w:val="BodyText"/>
      </w:pPr>
      <w:r>
        <w:t xml:space="preserve">6. Предусмотрено право Правительства Российской Федерации определить случаи, когда проверка соответствия поставленного товара условиям контракта проводится исключительно сторонними экспертами (экспертными организациями).</w:t>
      </w:r>
    </w:p>
    <w:p>
      <w:pPr>
        <w:pStyle w:val="BodyText"/>
      </w:pPr>
      <w:r>
        <w:t xml:space="preserve">7. Предусмотрено общественное обсуждение отдельных закупок.</w:t>
      </w:r>
    </w:p>
    <w:p>
      <w:pPr>
        <w:pStyle w:val="BodyText"/>
      </w:pPr>
      <w:r>
        <w:t xml:space="preserve">8. Предусмотрены различные механизмы контроля за закупочной деятельностью, в том числе общественный контроль.</w:t>
      </w:r>
    </w:p>
    <w:p>
      <w:pPr>
        <w:pStyle w:val="BodyText"/>
      </w:pPr>
      <w:r>
        <w:t xml:space="preserve">9. Установлены требования к экспертам, экспертным организациям.</w:t>
      </w:r>
    </w:p>
    <w:p>
      <w:pPr>
        <w:pStyle w:val="BodyText"/>
      </w:pPr>
      <w:r>
        <w:t xml:space="preserve">Одним из ключевых инструментов предупреждения коррупции является предотвращение и урегулирование конфликта интересов в закупочной сфере.</w:t>
      </w:r>
    </w:p>
    <w:p>
      <w:pPr>
        <w:pStyle w:val="BodyText"/>
      </w:pPr>
      <w:r>
        <w:t xml:space="preserve">Так, должностное лицо заказчика (руководитель, член комиссии по осуществлению закупок, руководитель контрактной службы, контрактный управляющий), его супруг (супруга), близкий родственник по прямой восходящей или нисходящей линии (например, отец, дочь,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(усыновитель этого должностного лица заказчика), не должны являться: участником закупки;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организации-участника закупки;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 участника закупки.</w:t>
      </w:r>
    </w:p>
    <w:p>
      <w:pPr>
        <w:pStyle w:val="BodyText"/>
      </w:pPr>
      <w:r>
        <w:t xml:space="preserve">Система правового регулирования публичных закупок содержит достаточно большой объем мер ответственности. Особенно часто в сфере публичных закупок применяются меры административной ответственности в отношении заказчиков и их должностных лиц.</w:t>
      </w:r>
    </w:p>
    <w:p>
      <w:pPr>
        <w:pStyle w:val="BodyText"/>
      </w:pPr>
      <w:r>
        <w:t xml:space="preserve">На сегодняшний день Кодекс об административных правонарушениях Российской Федерации (далее – КоАП РФ) содержит более 15 составов, устанавливающих ответственность за нарушение порядка закупочной деятельности публичными заказчиками.</w:t>
      </w:r>
    </w:p>
    <w:p>
      <w:pPr>
        <w:pStyle w:val="BodyText"/>
      </w:pPr>
      <w:r>
        <w:t xml:space="preserve">В актуальном состоянии поддерживается перечень юридических лиц, привлеченных к административной ответственности, предусмотренной статьей 19.28 КоАП РФ.</w:t>
      </w:r>
    </w:p>
    <w:p>
      <w:pPr>
        <w:pStyle w:val="BodyText"/>
      </w:pPr>
      <w:r>
        <w:t xml:space="preserve">Прокурорами реализовываются полномочия по привлечению к административной ответственности по статье 19.28 КоАП РФ, а также пресекаются факты заключения контрактов с организациями, ранее привлеченными к административной ответственности по указанной статье.</w:t>
      </w:r>
    </w:p>
    <w:p>
      <w:pPr>
        <w:pStyle w:val="BodyText"/>
      </w:pPr>
      <w:r>
        <w:t xml:space="preserve">Также одной из мер, применяемых заказчиками, может быть использование антикоррупционной оговорки в контрактах. Суть последней это специальное условие, которое включается в гражданско-правовой договор, чтобы не допустить совершения коррупционных действий при его исполнении, например коммерческого подкупа.</w:t>
      </w:r>
    </w:p>
    <w:p>
      <w:pPr>
        <w:pStyle w:val="BodyText"/>
      </w:pPr>
      <w:r>
        <w:t xml:space="preserve">Антикоррупционная оговорка направлена на то, чтобы стороны договора понимали, что совершение коррупционных правонарушений недопустимо, и были готовы принимать разумные меры по недопущению их совершения.</w:t>
      </w:r>
    </w:p>
    <w:p>
      <w:pPr>
        <w:pStyle w:val="BodyText"/>
      </w:pPr>
      <w:r>
        <w:rPr>
          <w:bCs/>
          <w:b/>
        </w:rPr>
        <w:t xml:space="preserve">Информация подготовлена Мещанской межрайонной прокуратурой г. Москвы.</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http://meschanka.mos.ru/safety-and-security/the-prosecutor-s-office/detail/13064947.html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30649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30649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2025-07-05T03:10:25Z</dcterms:created>
  <dcterms:modified xsi:type="dcterms:W3CDTF">2025-07-05T03:10:25Z</dcterms:modified>
</cp:coreProperties>
</file>

<file path=docProps/custom.xml><?xml version="1.0" encoding="utf-8"?>
<Properties xmlns="http://schemas.openxmlformats.org/officeDocument/2006/custom-properties" xmlns:vt="http://schemas.openxmlformats.org/officeDocument/2006/docPropsVTypes"/>
</file>