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5e3ca851688e93728ede32d0c0644179caa29"/>
    <w:p>
      <w:pPr>
        <w:pStyle w:val="Heading3"/>
      </w:pPr>
      <w:r>
        <w:t xml:space="preserve">С 1 апреля 2025 г. данные о розничной продаже маркированной икры нужно передавать в «Честный знак»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Участники оборота икры, осуществляющие оборот икры, с 01.04.2025 обязаны предоставлять в государственную информационную систему мониторинга за оборотом товаров, подлежащих обязательной маркировке средствами идентификации, сведения об обороте икры.</w:t>
      </w:r>
    </w:p>
    <w:p>
      <w:pPr>
        <w:pStyle w:val="BodyText"/>
      </w:pPr>
      <w:r>
        <w:t xml:space="preserve">Порядок маркировки икры осетровых и икры лососевых (красной икры), подлежащей обязательной маркировке средствами идентификации, требования к участникам оборота икры осетровых и икры лососевых (красной икры), порядок информационного обмена участников оборота икры осетровых и икры лососевых (красной икры) с государственной информационной системой мониторинга за оборотом товаров, подлежащих обязательной маркировке средствами идентификации, характеристики средства идентификации, а также порядок представления участниками оборота икры осетровых и икры лососевых (красной икры) сведений в информационную систему мониторинга о вводе в оборот, об обороте и о выводе из оборота икры осетровых и икры лососевых (красной икры) регламентированы постановлением Правительства Российской Федерации от 29.11.2023 № 2028.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2025-07-09T14:23:43Z</dcterms:created>
  <dcterms:modified xsi:type="dcterms:W3CDTF">2025-07-09T14:23:43Z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