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88a866ce219332941ba247ed33709d2c3e1ff"/>
    <w:p>
      <w:pPr>
        <w:pStyle w:val="Heading3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 и потребления по адресу: г. Москва, Малый Сухаревский пер., д. 6, д. 10, стр. 2.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</w:t>
      </w:r>
      <w:r>
        <w:br/>
      </w:r>
      <w:r>
        <w:t xml:space="preserve">и потребления по адресу: г. Москва, Малый Сухаревский пер., д. 6,</w:t>
      </w:r>
      <w:r>
        <w:br/>
      </w:r>
      <w:r>
        <w:t xml:space="preserve">д. 10, стр. 2.</w:t>
      </w:r>
    </w:p>
    <w:p>
      <w:pPr>
        <w:pStyle w:val="BodyText"/>
      </w:pPr>
      <w:r>
        <w:t xml:space="preserve">Проведенной проверкой выявлены нарушения требований санитарно-эпидемиологического законодательства в части ненадлежащего содержания контейнерных площадок.</w:t>
      </w:r>
    </w:p>
    <w:p>
      <w:pPr>
        <w:pStyle w:val="BodyText"/>
      </w:pPr>
      <w:r>
        <w:t xml:space="preserve">В нарушение в нарушение ч.1 ст.22 Федерального закона от 30.03.1999 № 52-ФЗ «О санитарно-эпидемиологическом благополучии населения», ч.1 Федерального закона от 24.06.1998 № 89-ФЗ «Об отходах производства и потребления», п.3.7.1 Правил № 170 между домами по адресу: г. Москва, Малый Сухаревский пер., д. 6, д. 10, стр. 2, около мусорных контейнеров складируется бытовой мусор.</w:t>
      </w:r>
    </w:p>
    <w:p>
      <w:pPr>
        <w:pStyle w:val="BodyText"/>
      </w:pPr>
      <w:r>
        <w:t xml:space="preserve">Межрайонной прокуратурой в адрес управляющей организации</w:t>
      </w:r>
      <w:r>
        <w:br/>
      </w:r>
      <w:r>
        <w:t xml:space="preserve">ГБУ «Жилищник Мещанского района» внесено представление об устранении выявленных нарушений, которое рассмотрено и удовлетворено, нарушения устранены.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2025-07-05T03:11:32Z</dcterms:created>
  <dcterms:modified xsi:type="dcterms:W3CDTF">2025-07-05T03:11:32Z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