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73888c9c1609fc32592e93232ef663bc837d3"/>
    <w:p>
      <w:pPr>
        <w:pStyle w:val="Heading3"/>
      </w:pPr>
      <w:r>
        <w:t xml:space="preserve">Уголовное дело в отношении 60-летнего мужчины с утвержденным Мещанской межрайонной прокуратурой обвинительным заключением направлено в суд для рассмотрения по существу.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Уголовное дело в отношении 60-летнего мужчины с утвержденным Мещанской межрайонной прокуратурой обвинительным заключением направлено в суд для рассмотрения по существу.</w:t>
      </w:r>
    </w:p>
    <w:p>
      <w:pPr>
        <w:pStyle w:val="BodyText"/>
      </w:pPr>
      <w:r>
        <w:t xml:space="preserve">Мужчине предъявлено обвинение по п. «з» ч. 2 ст. 111 УК РФ (умышленное причинение тяжкого вреда здоровью, опасного для жизни человека, совершенное с применением предмета, используемого в качестве оружия). Вину он признал.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2025-07-05T03:10:18Z</dcterms:created>
  <dcterms:modified xsi:type="dcterms:W3CDTF">2025-07-05T03:10:18Z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