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e5d658fbe6a45d01b152b8187239615de145a"/>
    <w:p>
      <w:pPr>
        <w:pStyle w:val="Heading3"/>
      </w:pPr>
      <w:r>
        <w:t xml:space="preserve"> Прокуратурой округа проведена проверка в сфере противодействия экстремистской деятельности</w:t>
      </w:r>
    </w:p>
    <w:p>
      <w:pPr>
        <w:pStyle w:val="FirstParagraph"/>
      </w:pPr>
      <w:r>
        <w:t xml:space="preserve">18.05.2025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проведения проверки исполнения законодательства о мерах воздействия на лиц, причастных к нарушениям основополагающих прав и свобод человека, прав и свобод граждан Российской Федерации и законодательства о противодействии экстремизму, прокуратурой округа установлен факт участия коммерческой организации в деятельности иностранных организаций «Бард колледж» и «Центрально-Европейский университет», включенных в Перечень иностранных и международных неправительственных организаций, деятельность которых признана нежелательной на территории Российской Федерации.</w:t>
      </w:r>
    </w:p>
    <w:p>
      <w:pPr>
        <w:pStyle w:val="BodyText"/>
      </w:pPr>
      <w:r>
        <w:t xml:space="preserve">Так, в ходе мониторинга информационно-телекоммуникационной сети Интернет выявлены факты участия Общества в деятельности иностранных организаций путем оказания услуг по сопровождению лиц в поступлении на программы высшего и среднего образования, включающих в себя подготовку документов для поступления, редакцию поданных документов, а также организацию всего процесса поступления в указанные учебные заведения.</w:t>
      </w:r>
    </w:p>
    <w:p>
      <w:pPr>
        <w:pStyle w:val="BodyText"/>
      </w:pPr>
      <w:r>
        <w:t xml:space="preserve">По результатам проверки прокуратурой округа в отношении Общества возбуждено  дело об административном правонарушении предусмотренном ст. 20.33 КоАП РФ (участие в деятельности иностранной или международной организации, в отношении которой принято решение о признании нежелательной на территории Российской Федерации ее деятельности).</w:t>
      </w:r>
    </w:p>
    <w:p>
      <w:pPr>
        <w:pStyle w:val="BodyText"/>
      </w:pPr>
      <w:r>
        <w:t xml:space="preserve">Постановлением Мещанского районного суда г. Москвы Общество признано виновным в совершении административного правонарушения, предусмотренного ст. 20.33 КоАП РФ, с назначением административного наказания в виде административного штрафа в размере 50 000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http://meschanka.mos.ru/safety-and-security/the-prosecutor-s-office/detail/12973147.html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973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973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2025-07-13T14:16:35Z</dcterms:created>
  <dcterms:modified xsi:type="dcterms:W3CDTF">2025-07-13T14:16:35Z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