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2257a1925e0be60d3dc81cd6e3bd867b1fd7a"/>
    <w:p>
      <w:pPr>
        <w:pStyle w:val="Heading3"/>
      </w:pPr>
      <w:r>
        <w:t xml:space="preserve">В прокуратуру округа для рассмотрения вопроса об утверждении обвинительного заключения поступило уголовное дело в отношении Аяза Шабутдинова</w:t>
      </w:r>
    </w:p>
    <w:p>
      <w:pPr>
        <w:pStyle w:val="FirstParagraph"/>
      </w:pPr>
      <w:r>
        <w:t xml:space="preserve">13.02.2025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прокуратуру Центрального административного округа г. Москвы для рассмотрения вопроса об утверждении обвинительного заключения поступило уголовное дело в отношении Аяза Шабутдинова.</w:t>
      </w:r>
    </w:p>
    <w:p>
      <w:pPr>
        <w:pStyle w:val="BodyText"/>
      </w:pPr>
      <w:r>
        <w:t xml:space="preserve">Предварительное расследование уголовного дела завершено.</w:t>
      </w:r>
    </w:p>
    <w:p>
      <w:pPr>
        <w:pStyle w:val="BodyText"/>
      </w:pPr>
      <w:r>
        <w:t xml:space="preserve">Аязу Шабутдинову предъявлено обвинение в совершении 113 эпизодов мошеничества (ч. 4 ст. 159 УК РФ). В настоящее время он содержится под стражей.</w:t>
      </w:r>
    </w:p>
    <w:p>
      <w:pPr>
        <w:pStyle w:val="BodyText"/>
      </w:pPr>
      <w:r>
        <w:t xml:space="preserve">Ущерб от преступлений превышает 57 млн руб.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http://meschanka.mos.ru/safety-and-security/the-prosecutor-s-office/detail/12807594.html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807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807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2025-05-15T11:22:25Z</dcterms:created>
  <dcterms:modified xsi:type="dcterms:W3CDTF">2025-05-15T11:22:25Z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