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62ec6f11ac46b7c1b31c44d2e224a9f52a861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«СК Тонеко» на предмет соблюдения требований трудового законодательства.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«СК Тонеко»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Кроме того, установлено, что трудовые отношения с работником оформлены с нарушением трудового законодательства.</w:t>
      </w:r>
    </w:p>
    <w:p>
      <w:pPr>
        <w:pStyle w:val="BodyText"/>
      </w:pPr>
      <w:r>
        <w:t xml:space="preserve">По результатам проверки генеральному директору</w:t>
      </w:r>
      <w:r>
        <w:br/>
      </w:r>
      <w:r>
        <w:t xml:space="preserve">ООО «СК Тонеко» внесено представление, которое рассмотрено и удовлетворено, в отношении должностного лица ООО «СК Тонеко» возбуждено дело об административном правонарушении</w:t>
      </w:r>
      <w:r>
        <w:br/>
      </w:r>
      <w:r>
        <w:t xml:space="preserve">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2024-12-19T15:49:11Z</dcterms:created>
  <dcterms:modified xsi:type="dcterms:W3CDTF">2024-12-19T15:49:11Z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