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2adf537d6d06630f576e9dbc5d9455bf64c73"/>
    <w:p>
      <w:pPr>
        <w:pStyle w:val="Heading3"/>
      </w:pPr>
      <w:r>
        <w:t xml:space="preserve">ИНФОРМАЦИЯ о работе межрайонной прокуратуры по надзору за процессуальной деятельностью органов внутренних дел за май 2024года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Мещанской межрайонной прокуратурой г. Москвы проанализировано состояние надзора за процессуальной деятельностью ОМВД России по Красносельскому и Мещанскому районам г. Москвы за май 2024, в сравнении с аналогичным периодом прошлого года.</w:t>
      </w:r>
    </w:p>
    <w:p>
      <w:pPr>
        <w:pStyle w:val="BodyText"/>
      </w:pPr>
      <w:r>
        <w:t xml:space="preserve">За 5 месяцев 2024 года на территории Красносельского и Мещанского районов г. Москвы зарегистрировано 945 преступлений (АППГ – 1099).</w:t>
      </w:r>
    </w:p>
    <w:p>
      <w:pPr>
        <w:pStyle w:val="BodyText"/>
      </w:pPr>
      <w:r>
        <w:t xml:space="preserve">Таким образом, за 5 месяцев 2024 года отмечается уменьшение зарегистрированных преступлений на 14,0 %, при этом раскрываемость значительно увеличилась и составила 46,5 % (АППГ- 31,5 %).</w:t>
      </w:r>
    </w:p>
    <w:p>
      <w:pPr>
        <w:pStyle w:val="BodyText"/>
      </w:pPr>
      <w:r>
        <w:t xml:space="preserve">За 5 месяцев 2024 года увеличилось количество зарегистрированных особо тяжких преступлений и составило 119 (АППГ-67), при этом раскрываемость значительно уменьшилась и составила 49, 1% (АППГ- 54,8 %).</w:t>
      </w:r>
    </w:p>
    <w:p>
      <w:pPr>
        <w:pStyle w:val="BodyText"/>
      </w:pPr>
      <w:r>
        <w:rPr>
          <w:bCs/>
          <w:b/>
        </w:rPr>
        <w:t xml:space="preserve">Кражи.</w:t>
      </w:r>
    </w:p>
    <w:p>
      <w:pPr>
        <w:pStyle w:val="BodyText"/>
      </w:pPr>
      <w:r>
        <w:t xml:space="preserve">Из 222 (АППГ – 314) краж, зарегистрированных за 5 месяцев 2024 года на кражи с проникновением, приходится 0 (АППГ –3) преступлений, в том числе в квартиры 1 против 1 в аналогичном периоде прошлого года.</w:t>
      </w:r>
    </w:p>
    <w:p>
      <w:pPr>
        <w:pStyle w:val="BodyText"/>
      </w:pPr>
      <w:r>
        <w:t xml:space="preserve">Раскрываемость преступлений данной категории увеличилась и составила 20,1 % (АППГ- 15,0 %).</w:t>
      </w:r>
    </w:p>
    <w:p>
      <w:pPr>
        <w:pStyle w:val="BodyText"/>
      </w:pPr>
      <w:r>
        <w:rPr>
          <w:bCs/>
          <w:b/>
        </w:rPr>
        <w:t xml:space="preserve">Грабежи.</w:t>
      </w:r>
    </w:p>
    <w:p>
      <w:pPr>
        <w:pStyle w:val="BodyText"/>
      </w:pPr>
      <w:r>
        <w:t xml:space="preserve">За 2 месяца 2023 года зарегистрирован 1 грабеж (АППГ – 6).</w:t>
      </w:r>
    </w:p>
    <w:p>
      <w:pPr>
        <w:pStyle w:val="BodyText"/>
      </w:pPr>
      <w:r>
        <w:t xml:space="preserve">Грабежи, совершенные с целью завладения транспортным средством, не регистрировались (АППГ-0)</w:t>
      </w:r>
    </w:p>
    <w:p>
      <w:pPr>
        <w:pStyle w:val="BodyText"/>
      </w:pPr>
      <w:r>
        <w:t xml:space="preserve">Раскрываемость преступлений данной категории уменьшилась 40,2 % (АППГ – 32,5 %).</w:t>
      </w:r>
    </w:p>
    <w:p>
      <w:pPr>
        <w:pStyle w:val="BodyText"/>
      </w:pPr>
      <w:r>
        <w:rPr>
          <w:bCs/>
          <w:b/>
        </w:rPr>
        <w:t xml:space="preserve">Мошенничество.</w:t>
      </w:r>
    </w:p>
    <w:p>
      <w:pPr>
        <w:pStyle w:val="BodyText"/>
      </w:pPr>
      <w:r>
        <w:t xml:space="preserve">За 5 месяцев 2024 года зарегистрировано 369 преступления данной категории (АППГ –477).</w:t>
      </w:r>
    </w:p>
    <w:p>
      <w:pPr>
        <w:pStyle w:val="BodyText"/>
      </w:pPr>
      <w:r>
        <w:t xml:space="preserve">Раскрываемость преступлений данной категории значительно увеличилась и составила 35,3 % (АППГ – 20,4 %).</w:t>
      </w:r>
    </w:p>
    <w:p>
      <w:pPr>
        <w:pStyle w:val="BodyText"/>
      </w:pPr>
      <w:r>
        <w:t xml:space="preserve">В целом, анализ состояния преступности за указанный период показал, что в сравнении с аналогичным периодом прошлого года на территории районов раскрываемость преступлений незначительно увеличилась, на ряду с общим снижением зарегистрированных преступлений.</w:t>
      </w:r>
    </w:p>
    <w:p>
      <w:pPr>
        <w:pStyle w:val="BodyText"/>
      </w:pPr>
      <w:r>
        <w:t xml:space="preserve">Рассматривая состояние преступности по категориям граждан, совершивших преступления, следует отметить, что наиболее склонными к совершению преступлений, по-прежнему, остаются лица не работающие, а также лица, не являющиеся жителями г. Москвы.</w:t>
      </w:r>
    </w:p>
    <w:p>
      <w:pPr>
        <w:pStyle w:val="BodyText"/>
      </w:pPr>
      <w:r>
        <w:t xml:space="preserve">В Мещанской межрайонной прокуратуре приоритетным направлением в надзорной деятельности является координация деятельности правоохранительных органов сфере профилактики преступности.</w:t>
      </w:r>
    </w:p>
    <w:p>
      <w:pPr>
        <w:pStyle w:val="BodyText"/>
      </w:pPr>
      <w:r>
        <w:t xml:space="preserve">С учетом анализа криминогенной обстановки прокурором уделялось повышенное внимание работе ОМВД России по Красносельскому и Мещанскому районам г. Москвы по выявлению и раскрытию преступлений.</w:t>
      </w:r>
    </w:p>
    <w:p>
      <w:pPr>
        <w:pStyle w:val="BodyText"/>
      </w:pPr>
      <w:r>
        <w:t xml:space="preserve">При этом на проводимых при прокуроре координационных и оперативных совещаниях, обсуждались результаты расследования конкретных уголовных дел. При обсуждении уголовных дел, а также материалов доследственных проверок обязательно участвуют представители оперативных служб ОМВД России по Красносельскому и Мещанскому районам г. Москвы.</w:t>
      </w:r>
    </w:p>
    <w:p>
      <w:pPr>
        <w:pStyle w:val="BodyText"/>
      </w:pPr>
      <w:r>
        <w:t xml:space="preserve">В целях устранения выявленных в деятельности ОМВД России по Красносельскому и Мещанскому районам г. Москвы нарушений закона межрайонной прокуратурой отменено 258 постановлений об отказе в возбуждении уголовного дела, 354 постановления о приостановлении предварительного расследования, внесено 68 представлений об устранении нарушений законодательства, 32 требования, поставлено на учет 32 преступления, ранее известных, но по различным причинам не учтенных.</w:t>
      </w:r>
    </w:p>
    <w:p>
      <w:pPr>
        <w:pStyle w:val="BodyText"/>
      </w:pPr>
      <w:r>
        <w:t xml:space="preserve">Кроме этого, прокурором в целях надлежащего надзора за процессуальной деятельностью поднадзорных правоохранительных органов, разработаны и исполняются планы и графики сверок документации первичного учета правоохранительных органов с данными предприятий различных форм собственности и государственных учреждений, в том числе лечебных.</w:t>
      </w:r>
    </w:p>
    <w:p>
      <w:pPr>
        <w:pStyle w:val="BodyText"/>
      </w:pPr>
      <w:r>
        <w:t xml:space="preserve">В качестве мер, направленных на недопущение развития негативных тенденций в социальной и общественно-политических сферах, прокуратурой на постоянной основе проводится мониторинг деятельности на поднадзорных предприятиях, проводятся встречи с гражданами.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http://meschanka.mos.ru/safety-and-security/the-prosecutor-s-office/detail/12729672.html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2024-12-19T15:46:27Z</dcterms:created>
  <dcterms:modified xsi:type="dcterms:W3CDTF">2024-12-19T15:46:27Z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