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4eb761f8781c7f394ae2f5e8568a2379b464a"/>
    <w:p>
      <w:pPr>
        <w:pStyle w:val="Heading3"/>
      </w:pPr>
      <w:r>
        <w:t xml:space="preserve">Правительство РФ Постановлением от 06.05.2011 N 354 утвердило Правила предоставления коммунальных услуг собственникам и пользователям помещений в многоквартирных домах и жилых домов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Правительство РФ Постановлением от 06.05.2011 N 354 утвердило Правила предоставления коммунальных услуг собственникам и пользователям помещений в многоквартирных домах и жилых домов (далее - Правила), согласно пп. "ж" п. 31 которых исполнитель обязан принимать от потребителей показания индивидуальных, общих (квартирных), комнатных приборов учета, в том числе способами, допускающими возможность удаленной передачи сведений о показаниях приборов учета (телефон, государственная информационная система жилищно-коммунального хозяйства, сеть Интернет и др.), и использовать показания, полученные не позднее 25-го числа расчетного месяца, при расчете размера платы за коммунальные услуги за тот расчетный период, за который были сняты показания.</w:t>
      </w:r>
    </w:p>
    <w:p>
      <w:pPr>
        <w:pStyle w:val="BodyText"/>
      </w:pPr>
      <w:r>
        <w:t xml:space="preserve">Непредставление потребителем показаний индивидуального прибора учета влечет применение п. 59 Правил. В таком случае плата за коммунальную услугу будет определена исходя из рассчитанного среднемесячного объема потребления коммунального ресурса потребителем, определенного по показаниям индивидуального или общего (квартирного) прибора учета за период не менее 6 месяцев, а если период работы прибора учета составил меньше 6 месяцев, то за фактический период работы прибора учета, но не менее 3 месяцев.</w:t>
      </w:r>
    </w:p>
    <w:p>
      <w:pPr>
        <w:pStyle w:val="BodyText"/>
      </w:pPr>
      <w:r>
        <w:t xml:space="preserve">Таким образом, расчет платы за последний месяц будет произведен исходя и среднемесячного потребления в вышеуказанном порядке. При последующем предоставлении показаний прибора учета ресурсоснабжающей организацией производится соответствующий перерасчет.</w:t>
      </w:r>
    </w:p>
    <w:p>
      <w:pPr>
        <w:pStyle w:val="BodyText"/>
      </w:pPr>
      <w:r>
        <w:t xml:space="preserve">Информация подготовлена</w:t>
      </w:r>
      <w:r>
        <w:br/>
      </w: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http://meschanka.mos.ru/safety-and-security/the-prosecutor-s-office/detail/12708054.html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8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8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2024-12-25T08:32:02Z</dcterms:created>
  <dcterms:modified xsi:type="dcterms:W3CDTF">2024-12-25T08:32:02Z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