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3fa3f2bee78de83f89bf246ed7ed3e5a8f3b0"/>
    <w:p>
      <w:pPr>
        <w:pStyle w:val="Heading3"/>
      </w:pPr>
      <w:r>
        <w:t xml:space="preserve">Установлена многоступенчатая прогрессивная шкала налога на доходы физических лиц и изменены налоговые ставки в различных отраслях.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12 июля 2024 года подписан Федеральный закон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направленный на реформирование налоговой системы.</w:t>
      </w:r>
    </w:p>
    <w:p>
      <w:pPr>
        <w:pStyle w:val="BodyText"/>
      </w:pPr>
      <w:r>
        <w:t xml:space="preserve">С 2025 года вводится многоступенчатая прогрессивная шкала налога на доходы физических лиц со ставками от 13% до 22%. Повышение НДФЛ не касается участников специальной военной операции, а также дополнительных выплат и надбавок, которые получают граждане, работающие в районах Крайнего Севера, приравненных к ним местностях, в других регионах с неблагоприятными или особыми климатическими и экологическими условиями.</w:t>
      </w:r>
    </w:p>
    <w:p>
      <w:pPr>
        <w:pStyle w:val="BodyText"/>
      </w:pPr>
      <w:r>
        <w:t xml:space="preserve">Предусмотрены новые налоговые вычеты, в том числе для семей с двумя и более детьми. Налоговый вычет за сдачу нормативов ГТО составляет 18 тыс. руб.</w:t>
      </w:r>
    </w:p>
    <w:p>
      <w:pPr>
        <w:pStyle w:val="BodyText"/>
      </w:pPr>
      <w:r>
        <w:t xml:space="preserve">Ставка по налогу на прибыль повышена до 25%. До 2030 года для IТ-компаний она составляет 5%. Они могут применять льготы в том числе при реорганизации в форме выделения. Для предприятий радиоэлектронной промышленности расширен перечень доходов, которые учитываются для применения пониженных тарифов страховых взносов. По расходам на научно-исследовательских и опытно-конструкторских работ и на права пользования российскими программами для электронно-вычислительных машин применяется коэффициент 2.</w:t>
      </w:r>
    </w:p>
    <w:p>
      <w:pPr>
        <w:pStyle w:val="BodyText"/>
      </w:pPr>
      <w:r>
        <w:t xml:space="preserve">Регионы могут вводить пониженные ставки налога на прибыль малых технологических компаний. Сняты ограничения по видам научно-исследовательских и опытно-конструкторских работ, по расходам на которые применяется повышающий коэффициент.</w:t>
      </w:r>
    </w:p>
    <w:p>
      <w:pPr>
        <w:pStyle w:val="BodyText"/>
      </w:pPr>
      <w:r>
        <w:t xml:space="preserve">Предусмотрена налоговая амнистия для налогоплательщиков, добровольно отказавшихся от дробления бизнеса.</w:t>
      </w:r>
    </w:p>
    <w:p>
      <w:pPr>
        <w:pStyle w:val="BodyText"/>
      </w:pPr>
      <w:r>
        <w:t xml:space="preserve">Курортный сбор преобразован в туристический налог. Муниципалитеты самостоятельно определяют необходимость его введения и размеры ставок. Ставка налога будет расти постепенно, начиная с 1% от стоимости проживания в 2025 году и прибавляя по 1% в год до 2029 года, далее - не выше 5%. Налог уплачивается в бюджет по месту нахождения гостиниц. Он не исчисляется со стоимости услуги по проживанию некоторых категорий граждан, в том числе участников специальной военной операции.</w:t>
      </w:r>
    </w:p>
    <w:p>
      <w:pPr>
        <w:pStyle w:val="BodyText"/>
      </w:pPr>
      <w:r>
        <w:t xml:space="preserve">Появился акциз на никотиновое сырье и бестабачную никотинсо держащую смесь для нагревания. Подакцизными товарами признали фармсубстанцию этилового спирта, спиртосодержащие лекарства и природный газ для производства аммиака.</w:t>
      </w:r>
    </w:p>
    <w:p>
      <w:pPr>
        <w:pStyle w:val="BodyText"/>
      </w:pPr>
      <w:r>
        <w:t xml:space="preserve">Регионы вправе устанавливать более высокие ставки налогов на дорогое имущество.</w:t>
      </w:r>
    </w:p>
    <w:p>
      <w:pPr>
        <w:pStyle w:val="BodyText"/>
      </w:pPr>
      <w:r>
        <w:t xml:space="preserve">Повышен порог для перехода на упрошенную систему налогообложения. Компании и предприниматели, применяющие этот спецрежим, обязаны оплачивать налог на добавочную стоимость. Плательщики упрощенной системы налогообложения с доходом до 60 млн. руб. освобождены от исполнения обязанности налогоплательщика НДС без направления в налоговый орган уведомления.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http://meschanka.mos.ru/safety-and-security/the-prosecutor-s-office/detail/12707974.html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07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2025-02-13T05:17:08Z</dcterms:created>
  <dcterms:modified xsi:type="dcterms:W3CDTF">2025-02-13T05:17:08Z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