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ba84b055dd57444301e2d959351c4a5cf2061"/>
    <w:p>
      <w:pPr>
        <w:pStyle w:val="Heading3"/>
      </w:pPr>
      <w:r>
        <w:t xml:space="preserve">В соответствии с национальными стандартами, применяемыми по общему правилу в добровольном порядке, собирать строительные отходы следует раздельно по их видам, классам опасности и другим признакам.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В соответствии с национальными стандартами, применяемыми по общему правилу в добровольном порядке, собирать строительные отходы следует раздельно по их видам, классам опасности и другим признакам. Это позволит обеспечить их утилизацию, обезвреживание, использование в качестве вторичного сырья или передачу для вторичного использования (п. п. 4.4.1, 6.1 ГОСТ Р 57678-2017, п. 4.4 ГОСТ Р 70052-2022).</w:t>
      </w:r>
    </w:p>
    <w:p>
      <w:pPr>
        <w:pStyle w:val="BodyText"/>
      </w:pPr>
      <w:r>
        <w:t xml:space="preserve">Отходы, которые можно повторно использовать целиком или в части для производства товаров, выполнения работ, оказания услуг или получения энергии, относятся к вторичным ресурсам. Их можно утилизировать самостоятельно или передать их для этой цели другим лицам. При передаче на утилизацию некоторых видов отходов нужно соблюдать установленные требования, в частности п. п. 1, 3, 4 ст. 17.1 Закона об отходах.</w:t>
      </w:r>
    </w:p>
    <w:p>
      <w:pPr>
        <w:pStyle w:val="BodyText"/>
      </w:pPr>
      <w:r>
        <w:t xml:space="preserve">Для временного (не более семи календарных дней) хранения отходов рекомендуется выделить специальное место (склад, площадку, контейнер и др.). Его нужно оборудовать таким образом, чтобы исключить загрязнение почвы, поверхностных и грунтовых вод, атмосферного воздуха (п. п. 3.9, 4.5 ГОСТ Р 57678-2017). Порядок организации сбора и хранения строительных отходов установлен п. 6 ГОСТ Р 57678-2017.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http://meschanka.mos.ru/safety-and-security/the-prosecutor-s-office/detail/12707973.html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2025-04-28T14:52:08Z</dcterms:created>
  <dcterms:modified xsi:type="dcterms:W3CDTF">2025-04-28T14:52:08Z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