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ccd9f4fea40e37df06660ffb653f3132801fc"/>
    <w:p>
      <w:pPr>
        <w:pStyle w:val="Heading3"/>
      </w:pPr>
      <w:r>
        <w:t xml:space="preserve">Федеральной службой государственной регистрации, кадастра и картографии 13.08.2024 дано разъяснение, что относится к общему имуществу СНТ, и отражен порядок оформления доли в общем имуществе СНТ.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Общем имуществом СНТ являются - дороги, инженерные коммуникации (электрические сети, газо- и водопроводы), места для сбора бытовых отходов, спортивные площадки и иное имущество, необходимое для обеспечения общих нужд собственников садовых участков.</w:t>
      </w:r>
    </w:p>
    <w:p>
      <w:pPr>
        <w:pStyle w:val="BodyText"/>
      </w:pPr>
      <w:r>
        <w:t xml:space="preserve">Отмечено, что вопрос о безвозмездной передаче общего имущества СНТ в долевую собственность собственников садовых участков должен быть рассмотрен на общем собрании членов СНТ.</w:t>
      </w:r>
    </w:p>
    <w:p>
      <w:pPr>
        <w:pStyle w:val="BodyText"/>
      </w:pPr>
      <w:r>
        <w:t xml:space="preserve">Решение о передаче в долевую собственность может быть принято при условии, что в таком голосовании приняло участие более 50% членов товарищества и одобрено не менее 2/3 голосов от общего числа присутствующих. Если в общем собрании участвуют также собственники садовых участков, не являющихся членами товарищества, их голоса также должны быть обязательно учтены при голосовании.</w:t>
      </w:r>
    </w:p>
    <w:p>
      <w:pPr>
        <w:pStyle w:val="BodyText"/>
      </w:pPr>
      <w:r>
        <w:t xml:space="preserve">Такое решение оформляется протоколом с указанием результатов голосования. Помимо общих требований, в протоколе также должно быть указано:</w:t>
      </w:r>
    </w:p>
    <w:p>
      <w:pPr>
        <w:pStyle w:val="BodyText"/>
      </w:pPr>
      <w:r>
        <w:t xml:space="preserve">- ФИО, реквизиты документов, удостоверяющих личность собственников садовых участков, в собственность которых передается общее имущество;</w:t>
      </w:r>
    </w:p>
    <w:p>
      <w:pPr>
        <w:pStyle w:val="BodyText"/>
      </w:pPr>
      <w:r>
        <w:t xml:space="preserve">- описание и кадастровые номера объектов, относящихся к такому имуществу;</w:t>
      </w:r>
    </w:p>
    <w:p>
      <w:pPr>
        <w:pStyle w:val="BodyText"/>
      </w:pPr>
      <w:r>
        <w:t xml:space="preserve">- размер доли в праве общей долевой собственности на общее имущество;</w:t>
      </w:r>
    </w:p>
    <w:p>
      <w:pPr>
        <w:pStyle w:val="BodyText"/>
      </w:pPr>
      <w:r>
        <w:t xml:space="preserve">- реквизиты документов, подтверждающих право собственности СНТ на передаваемое общее имущество.</w:t>
      </w:r>
    </w:p>
    <w:p>
      <w:pPr>
        <w:pStyle w:val="BodyText"/>
      </w:pPr>
      <w:r>
        <w:t xml:space="preserve">После чего собственники садовых земельных участков вправе самостоятельно либо через представителя (если такой представитель был избран на общем собрании членов товарищества) обратиться в орган регистрации прав с заявлением о государственном кадастровом учете и (или) государственной регистрации прав на имущество общего пользования СНТ с приложением документов. В том числе необходимо предоставить решение общего собрания членов товарищества, в котором содержатся сведения о размере долей в праве общей долевой собственности на имущество общего пользования.</w:t>
      </w:r>
    </w:p>
    <w:p>
      <w:pPr>
        <w:pStyle w:val="BodyText"/>
      </w:pPr>
      <w:r>
        <w:t xml:space="preserve">Дополнительно сообщается, что садовод не может продать свою долю отдельно от земельного участка, поскольку размер доли, закрепляемой за конкретным собственником садового земельного участка, определяется пропорционально площади такого участка, и эти доли неотделимы от судьбы садового земельного участка.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http://meschanka.mos.ru/safety-and-security/the-prosecutor-s-office/detail/12707969.html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07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07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2025-04-11T21:25:24Z</dcterms:created>
  <dcterms:modified xsi:type="dcterms:W3CDTF">2025-04-11T21:25:24Z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