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501ae2bc05dc35a64f9a2f4891201aed0c77e"/>
    <w:p>
      <w:pPr>
        <w:pStyle w:val="Heading3"/>
      </w:pPr>
      <w:r>
        <w:t xml:space="preserve">Прокурор ЦАО г. Москвы разъясняет: Об ответственности за спам-звонки и недобросовестную рекламу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09f/3cmdpung2xk4d5pvmvwpligp29717l57/photo_536419602036122756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 17 апреля 2024 года вступили в силу изменения в Кодексе об административных правонарушениях (КоАП РФ), внесённые Федеральным законом от 06.04.2024 № 78-ФЗ. Эти изменения направлены на борьбу с нарушениями в сфере рекламы, особенно тех, которые распространяются через сети электросвязи.</w:t>
      </w:r>
    </w:p>
    <w:p>
      <w:pPr>
        <w:pStyle w:val="BodyText"/>
      </w:pPr>
      <w:r>
        <w:t xml:space="preserve">Теперь за нарушение требований к рекламе, распространяемой через сети электросвязи, граждане будут платить штраф от 10 тысяч до 20 тысяч рублей, должностные лица — от 20 тысяч до 100 тысяч рублей, а юридические лица — от 300 тысяч до одного миллиона рублей.</w:t>
      </w:r>
    </w:p>
    <w:p>
      <w:pPr>
        <w:pStyle w:val="BodyText"/>
      </w:pPr>
      <w:r>
        <w:t xml:space="preserve">Если кредитная организация или микрофинансовая организация распространяет рекламу услуг, связанных с предоставлением кредита или займа, нарушением требований Федерального закона «О рекламе», то должностные лица будут платить штраф от 40 тысяч до 100 тысяч рублей, а юридические лица — от 600 тысяч до 1,6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http://meschanka.mos.ru/safety-and-security/the-prosecutor-s-office/detail/12698709.html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698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698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2024-12-03T03:56:37Z</dcterms:created>
  <dcterms:modified xsi:type="dcterms:W3CDTF">2024-12-03T03:56:37Z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