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9ae44ef8efc6b3aa90ff8c2308606c2c76af0"/>
    <w:p>
      <w:pPr>
        <w:pStyle w:val="Heading3"/>
      </w:pPr>
      <w:r>
        <w:t xml:space="preserve">Прокуратура контролирует установление обстоятельств конфликта в центре Москвы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предварительным данным, на Малой Никитской между гражданами произошел конфликт, в ходе которого применено, предположительно, травматическое оружие. По результатам процессуальной проверки возбуждено уголовное дело по факту хулиганства.</w:t>
      </w:r>
    </w:p>
    <w:p>
      <w:pPr>
        <w:pStyle w:val="BodyText"/>
      </w:pPr>
      <w:r>
        <w:t xml:space="preserve">Расследование взяла под контроль прокуратура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http://meschanka.mos.ru/safety-and-security/the-prosecutor-s-office/detail/12698674.html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98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98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2024-12-03T03:56:48Z</dcterms:created>
  <dcterms:modified xsi:type="dcterms:W3CDTF">2024-12-03T03:56:48Z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