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b464100794f780f2ef60c6ecd49d648e4f574"/>
    <w:p>
      <w:pPr>
        <w:pStyle w:val="Heading3"/>
      </w:pPr>
      <w:r>
        <w:t xml:space="preserve">О рассмотрении искового заявления прокуратуры округа о взыскании ущерба, причиненного налоговым преступлением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Постановлением СУ по ЦАО ГСУ СК России по г. Москве уголовное дело в отношении Ермолина К.А., обвиняемого в совершении преступления, предусмотренного ч. 1 ст. 199 УК РФ, прекращено на основании п. 3 ч. 1 ст. 24 УПК РФ, в связи с истечением сроков давности уголовного преследования.</w:t>
      </w:r>
    </w:p>
    <w:p>
      <w:pPr>
        <w:pStyle w:val="BodyText"/>
      </w:pPr>
      <w:r>
        <w:t xml:space="preserve">Расследованием уголовного дела установлено, что Ермолин К.А., являясь генеральным директором ООО «Сити-Монолит», состоящего на учете в ИФНС России № 4 по г. Москве, в нарушение норм налогового законодательства Российской Федерации, путем включения в налоговые декларации заведомо ложных сведений совершил уклонение от уплаты налога на добавленную стоимость за 2008-2009 года и налога на прибыль организаций за 2008-2009 года, подлежащих уплате ООО «Сити-Монолит», на общую сумму более 17 млн рублей.</w:t>
      </w:r>
    </w:p>
    <w:p>
      <w:pPr>
        <w:pStyle w:val="BodyText"/>
      </w:pPr>
      <w:r>
        <w:t xml:space="preserve">Ущерб, причиненный Российской Федерации, в ходе расследования уголовного дела не возмещен, в связи с чем прокуратурой Центрального административного округа г. Москвы в суд в порядке статьи 45 ГПК РФ направлено исковое заявление о взыскании с Ермолина К.А. ущерба, причиненного налоговым преступлением.</w:t>
      </w:r>
    </w:p>
    <w:p>
      <w:pPr>
        <w:pStyle w:val="BodyText"/>
      </w:pPr>
      <w:r>
        <w:t xml:space="preserve">Решением Хорошевского районного суда г. Москвы от 04.10.2024 исковое заявление прокуратуры округа удовлетворено в полном объеме, с Ермолина К.А.в доход федерального бюджет взыскано 17 595 419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http://meschanka.mos.ru/safety-and-security/the-prosecutor-s-office/detail/12636043.html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36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36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2024-12-09T02:43:42Z</dcterms:created>
  <dcterms:modified xsi:type="dcterms:W3CDTF">2024-12-09T02:43:42Z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