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bdcb000529de80d055e991c327fbc8e8ab222"/>
    <w:p>
      <w:pPr>
        <w:pStyle w:val="Heading3"/>
      </w:pPr>
      <w:r>
        <w:t xml:space="preserve">С участием прокуратуры суд приступил к рассмотрению уголовного дела о мошенничестве на сумму свыше 350 млн рублей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С участием прокуратуры суд приступил к рассмотрению уголовного дела о мошенничестве на сумму свыше 350 млн рублей. Фото: Анна Быкова, «Вечерняя Москва»</w:t>
      </w:r>
    </w:p>
    <w:p>
      <w:pPr>
        <w:pStyle w:val="BodyText"/>
      </w:pPr>
      <w:r>
        <w:t xml:space="preserve">С участием прокуратуры Центрального административного округа суд приступил к рассмотрению уголовного дела Дарьи Спиридоновой, обвиняемой в совершении 19 преступлений, предусмотренных ч. 3, 4 ст. 159 УК РФ (мошенничество в крупном и особо крупном размерах).</w:t>
      </w:r>
    </w:p>
    <w:p>
      <w:pPr>
        <w:pStyle w:val="BodyText"/>
      </w:pPr>
      <w:r>
        <w:t xml:space="preserve">По ходатайству государственного обвинителя суд продлил подсудимой срок содержания под домашним арестом до 13 ноября 2024 года с сохранением ранее установленных ограничений и запретов, а также назначил следующее судебное заседание.</w:t>
      </w:r>
    </w:p>
    <w:p>
      <w:pPr>
        <w:pStyle w:val="BodyText"/>
      </w:pPr>
      <w:r>
        <w:t xml:space="preserve">Как сообщалось ранее, Спиридонова, являясь генеральным директором коммерческой организации, занимающейся реализацией ювелирных изделий, путем обмана, под предлогом извлечения прибыли от сделок с драгоценными камнями и ювелирными изделиями получила от 19 потерпевших денежные средства в сумме более 350 млн рублей. Однако взятые на себя обязательства не выполнила, денежные средства не вернула.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http://meschanka.mos.ru/safety-and-security/the-prosecutor-s-office/detail/12444996.html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444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444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2024-09-29T20:47:26Z</dcterms:created>
  <dcterms:modified xsi:type="dcterms:W3CDTF">2024-09-29T20:47:26Z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