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d045a29818dd4240b560a0a1f0b2e1926646a"/>
    <w:p>
      <w:pPr>
        <w:pStyle w:val="Heading3"/>
      </w:pPr>
      <w:r>
        <w:t xml:space="preserve">Прокурор ЦАО г. Москвы разъясняет: Изменена система оплаты действий частных нотариусов</w:t>
      </w:r>
    </w:p>
    <w:p>
      <w:pPr>
        <w:pStyle w:val="FirstParagraph"/>
      </w:pPr>
      <w:r>
        <w:t xml:space="preserve">22.05.2024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поправками, внесенными Федеральным законом от 29.12.2022 № 588-ФЗ в Основы законодательства Российской Федерации о нотариате, частные нотариусы должны взимать единый нотариальный тариф, включающий федеральный и региональный тарифы.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Размер федерального тарифа за совершение нотариальных действий, требующих обязательного нотариального удостоверения, должен соответствовать размеру государственной пошлины, предусмотренной за совершение аналогичных действий в государственной нотариальной конторе, с учетом особенностей законодательства о налогах и сборах.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совершение действий, обязательная нотариальная форма для которых законодательством не предусмотрена, федеральный тариф устанавливается в размере, определенном статьей 22.1 Основ о нотариате.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Размер регионального тарифа утверждается ежегодно нотариальной палатой субъекта. Он не должен превышать предельных размеров областных тарифов, установленных Федеральной нотариальной палатой.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http://meschanka.mos.ru/safety-and-security/the-prosecutor-s-office/detail/12382526.html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82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382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2025-05-17T12:25:58Z</dcterms:created>
  <dcterms:modified xsi:type="dcterms:W3CDTF">2025-05-17T12:25:58Z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