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73888c9c1609fc32592e93232ef663bc837d3"/>
    <w:p>
      <w:pPr>
        <w:pStyle w:val="Heading3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существу.</w:t>
      </w:r>
    </w:p>
    <w:p>
      <w:pPr>
        <w:pStyle w:val="BodyText"/>
      </w:pPr>
      <w:r>
        <w:t xml:space="preserve">Мужчине предъявлено обвинение по п. «з» ч. 2 ст. 111 УК РФ (умышленное причинение тяжкого вреда здоровью, опасного для жизни человека, совершенное с применением предмета, используемого в качестве оружия). Вину он признал.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2024-10-07T20:25:53Z</dcterms:created>
  <dcterms:modified xsi:type="dcterms:W3CDTF">2024-10-07T20:25:53Z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