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ebefd364057e9e03e229504911de62e7faecd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«Единый Центр Экспертизы» на предмет соблюдения требований трудового законодательства.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«Единый Центр Экспертизы»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Кроме того, установлено, что трудовые отношения с работником оформлены с нарушением трудового законодательства.</w:t>
      </w:r>
    </w:p>
    <w:p>
      <w:pPr>
        <w:pStyle w:val="BodyText"/>
      </w:pPr>
      <w:r>
        <w:t xml:space="preserve">По результатам проверки генеральному директору</w:t>
      </w:r>
      <w:r>
        <w:br/>
      </w:r>
      <w:r>
        <w:t xml:space="preserve">ООО «Единый Центр Экспертизы» внесено представление, которое рассмотрено и удовлетворено, в отношении должностного лица ООО «Единый Центр Экспертизы» возбуждены дела об административных правонарушениях</w:t>
      </w:r>
      <w:r>
        <w:br/>
      </w:r>
      <w:r>
        <w:t xml:space="preserve">по ч. 1 ст. 5.27 КоАП РФ,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2025-07-24T11:38:29Z</dcterms:created>
  <dcterms:modified xsi:type="dcterms:W3CDTF">2025-07-24T11:38:29Z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