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fbee88df6114c024c76b85f5785e1475d533b3"/>
    <w:p>
      <w:pPr>
        <w:pStyle w:val="Heading3"/>
      </w:pPr>
      <w:r>
        <w:t xml:space="preserve">В Инспекции ФНС России № 2 по г. Москве 03 февраля 2022 года пройдет онлайн – вебинар</w:t>
      </w:r>
    </w:p>
    <w:p>
      <w:pPr>
        <w:pStyle w:val="FirstParagraph"/>
      </w:pPr>
      <w:r>
        <w:t xml:space="preserve">17.01.2022</w:t>
      </w:r>
    </w:p>
    <w:p>
      <w:pPr>
        <w:pStyle w:val="BodyText"/>
      </w:pPr>
      <w:r>
        <w:rPr>
          <w:bCs/>
          <w:b/>
        </w:rPr>
        <w:t xml:space="preserve">В Инспекции ФНС России № 2 по г. Москве</w:t>
      </w:r>
      <w:r>
        <w:rPr>
          <w:bCs/>
          <w:b/>
        </w:rPr>
        <w:t xml:space="preserve"> </w:t>
      </w:r>
      <w:r>
        <w:rPr>
          <w:bCs/>
          <w:b/>
        </w:rPr>
        <w:t xml:space="preserve">03 февраля 2022 года пройдет онлайн – вебинар на тему:</w:t>
      </w:r>
      <w:r>
        <w:rPr>
          <w:bCs/>
          <w:b/>
        </w:rPr>
        <w:t xml:space="preserve"> </w:t>
      </w:r>
      <w:r>
        <w:rPr>
          <w:bCs/>
          <w:b/>
        </w:rPr>
        <w:t xml:space="preserve">«</w:t>
      </w:r>
      <w:r>
        <w:rPr>
          <w:bCs/>
          <w:b/>
        </w:rPr>
        <w:t xml:space="preserve">Уточнение вида и принадлежности платежа в порядке 45 ст. НК РФ</w:t>
      </w:r>
      <w:r>
        <w:rPr>
          <w:bCs/>
          <w:b/>
        </w:rPr>
        <w:t xml:space="preserve">»</w:t>
      </w:r>
      <w:r>
        <w:rPr>
          <w:bCs/>
          <w:b/>
        </w:rPr>
        <w:t xml:space="preserve"> </w:t>
      </w:r>
      <w:r>
        <w:rPr>
          <w:bCs/>
          <w:b/>
        </w:rPr>
        <w:t xml:space="preserve">в 16:00.</w:t>
      </w:r>
    </w:p>
    <w:p>
      <w:pPr>
        <w:pStyle w:val="BodyText"/>
      </w:pPr>
      <w:r>
        <w:t xml:space="preserve">Ссылка для входа:</w:t>
      </w:r>
      <w:r>
        <w:t xml:space="preserve"> </w:t>
      </w:r>
      <w:hyperlink r:id="rId20">
        <w:r>
          <w:rPr>
            <w:rStyle w:val="Hyperlink"/>
          </w:rPr>
          <w:t xml:space="preserve">https://vksnp4.nalog.ru/conference/utochnenie-vida-i-prinadlezhnosti-platezha-v-porya?token=5169a739-7cbc-4cd9-a90a-112f72359c72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http://meschanka.mos.ru/presscenter/announcements/detail/10561238.html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announcements/detail/10561238.html" TargetMode="External" /><Relationship Type="http://schemas.openxmlformats.org/officeDocument/2006/relationships/hyperlink" Id="rId20" Target="https://vksnp4.nalog.ru/conference/utochnenie-vida-i-prinadlezhnosti-platezha-v-porya?token=5169a739-7cbc-4cd9-a90a-112f72359c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announcements/detail/10561238.html" TargetMode="External" /><Relationship Type="http://schemas.openxmlformats.org/officeDocument/2006/relationships/hyperlink" Id="rId20" Target="https://vksnp4.nalog.ru/conference/utochnenie-vida-i-prinadlezhnosti-platezha-v-porya?token=5169a739-7cbc-4cd9-a90a-112f72359c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2023-07-25T18:05:34Z</dcterms:created>
  <dcterms:modified xsi:type="dcterms:W3CDTF">2023-07-25T18:05:34Z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