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a4bb02ca3d9a0ed7b4bcb948b450b55fa7af90"/>
    <w:p>
      <w:pPr>
        <w:pStyle w:val="Heading3"/>
      </w:pPr>
      <w:r>
        <w:t xml:space="preserve">ОПОВЕЩЕНИЕ о начале общественных обсуждений по корректировке проекта межевания территории части квартала 260 Мещанского района, ограниченного Цветным бульваром, Малым Сухаревским переулком, Трубной улицей, Малым Сергиевским переулком</w:t>
      </w:r>
    </w:p>
    <w:p>
      <w:pPr>
        <w:pStyle w:val="FirstParagraph"/>
      </w:pPr>
      <w:r>
        <w:t xml:space="preserve">20.11.2020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http://meschanka.mos.ru/electronic-public-discussion/detail/9445036.html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94450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94450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2024-08-12T21:54:34Z</dcterms:created>
  <dcterms:modified xsi:type="dcterms:W3CDTF">2024-08-12T21:54:34Z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