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3c319b02756b7179bb6fb21a0dacfccc177e6c"/>
    <w:p>
      <w:pPr>
        <w:pStyle w:val="Heading3"/>
      </w:pPr>
      <w:r>
        <w:t xml:space="preserve">Почему электронные общественные обсуждения по градостроительным проектам – это удобно и эффективно?</w:t>
      </w:r>
    </w:p>
    <w:p>
      <w:pPr>
        <w:pStyle w:val="FirstParagraph"/>
      </w:pPr>
      <w:r>
        <w:t xml:space="preserve">16.10.2020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eschanka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http://meschanka.mos.ru/electronic-public-discussion/detail/9329677.html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eschanka.mos.ru" TargetMode="External" /><Relationship Type="http://schemas.openxmlformats.org/officeDocument/2006/relationships/hyperlink" Id="rId23" Target="http://meschanka.mos.ru/electronic-public-discussion/detail/9329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eschanka.mos.ru" TargetMode="External" /><Relationship Type="http://schemas.openxmlformats.org/officeDocument/2006/relationships/hyperlink" Id="rId23" Target="http://meschanka.mos.ru/electronic-public-discussion/detail/9329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2025-04-17T04:41:42Z</dcterms:created>
  <dcterms:modified xsi:type="dcterms:W3CDTF">2025-04-17T04:41:42Z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